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3218A9" w14:textId="77777777" w:rsidR="00C63BE0" w:rsidRDefault="00C6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BLENDED LEARNING ACADEMIES CREDIT RECOVERY</w:t>
      </w:r>
    </w:p>
    <w:p w14:paraId="59E900A8" w14:textId="77777777" w:rsidR="00C63BE0" w:rsidRDefault="00C63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ALTERNATIVE HIGH SCHOOL</w:t>
      </w:r>
    </w:p>
    <w:p w14:paraId="5ACB1122" w14:textId="77777777" w:rsidR="00C6272A" w:rsidRDefault="0038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COVID-19 Learning Plan</w:t>
      </w:r>
    </w:p>
    <w:p w14:paraId="3B5D38F7" w14:textId="77777777" w:rsidR="00C6272A" w:rsidRDefault="0038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Goal Reporting</w:t>
      </w:r>
    </w:p>
    <w:p w14:paraId="025F3FFD" w14:textId="77777777" w:rsidR="00C6272A" w:rsidRDefault="00384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by February 1, 2021 and by End of 20/21 School Year</w:t>
      </w:r>
    </w:p>
    <w:p w14:paraId="1B2681BD" w14:textId="77777777" w:rsidR="00C6272A" w:rsidRDefault="00C6272A"/>
    <w:p w14:paraId="2F4BE550" w14:textId="77777777" w:rsidR="00C6272A" w:rsidRDefault="00384C5A">
      <w:pPr>
        <w:rPr>
          <w:b/>
        </w:rPr>
      </w:pPr>
      <w:r>
        <w:rPr>
          <w:b/>
        </w:rPr>
        <w:t>Date:</w:t>
      </w:r>
      <w:r w:rsidR="00C63BE0">
        <w:rPr>
          <w:b/>
        </w:rPr>
        <w:t xml:space="preserve"> 2/1/2021</w:t>
      </w:r>
    </w:p>
    <w:p w14:paraId="0DA8FAA5" w14:textId="77777777" w:rsidR="00C6272A" w:rsidRDefault="00C6272A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520"/>
      </w:tblGrid>
      <w:tr w:rsidR="00C6272A" w14:paraId="3848673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317B" w14:textId="77777777" w:rsidR="00C6272A" w:rsidRDefault="00384C5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Goal Category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159A" w14:textId="77777777" w:rsidR="00C6272A" w:rsidRDefault="00C63BE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NWEA Map Growth (grades 9-12)</w:t>
            </w:r>
          </w:p>
        </w:tc>
      </w:tr>
      <w:tr w:rsidR="00C6272A" w14:paraId="6D6AA276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CAFA" w14:textId="77777777" w:rsidR="00C6272A" w:rsidRDefault="00384C5A">
            <w:pPr>
              <w:widowControl w:val="0"/>
              <w:spacing w:line="240" w:lineRule="auto"/>
            </w:pPr>
            <w:r>
              <w:t>Middle of the Year Reading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A76C" w14:textId="77777777" w:rsidR="00C6272A" w:rsidRDefault="00C63BE0">
            <w:pPr>
              <w:widowControl w:val="0"/>
              <w:spacing w:line="240" w:lineRule="auto"/>
            </w:pPr>
            <w:r>
              <w:t>NWEA growth scores to increase by 25%</w:t>
            </w:r>
          </w:p>
        </w:tc>
      </w:tr>
      <w:tr w:rsidR="00C6272A" w14:paraId="1E8FD832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8CF8" w14:textId="77777777" w:rsidR="00C6272A" w:rsidRDefault="00384C5A">
            <w:pPr>
              <w:widowControl w:val="0"/>
              <w:spacing w:line="240" w:lineRule="auto"/>
            </w:pPr>
            <w:r>
              <w:t>End of the Year Reading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C291" w14:textId="77777777" w:rsidR="00C6272A" w:rsidRDefault="00C63BE0">
            <w:pPr>
              <w:widowControl w:val="0"/>
              <w:spacing w:line="240" w:lineRule="auto"/>
            </w:pPr>
            <w:r>
              <w:t>NWEA growth scores to increase by 50%</w:t>
            </w:r>
          </w:p>
        </w:tc>
      </w:tr>
      <w:tr w:rsidR="00C6272A" w14:paraId="4A01812C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AD64" w14:textId="77777777" w:rsidR="00C6272A" w:rsidRDefault="00384C5A">
            <w:pPr>
              <w:widowControl w:val="0"/>
              <w:spacing w:line="240" w:lineRule="auto"/>
            </w:pPr>
            <w:r>
              <w:t>Middle of the Year Mathematics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83C9" w14:textId="77777777" w:rsidR="00C6272A" w:rsidRDefault="00C63BE0">
            <w:pPr>
              <w:widowControl w:val="0"/>
              <w:spacing w:line="240" w:lineRule="auto"/>
            </w:pPr>
            <w:r>
              <w:t>NWEA growth scores to increase by 25%</w:t>
            </w:r>
          </w:p>
        </w:tc>
      </w:tr>
      <w:tr w:rsidR="00C6272A" w14:paraId="5C7F8327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55F1" w14:textId="77777777" w:rsidR="00C6272A" w:rsidRDefault="00384C5A">
            <w:pPr>
              <w:widowControl w:val="0"/>
              <w:spacing w:line="240" w:lineRule="auto"/>
            </w:pPr>
            <w:r>
              <w:t>End of the Year Mathematics Goal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DA0A" w14:textId="77777777" w:rsidR="00C6272A" w:rsidRDefault="00C63BE0">
            <w:pPr>
              <w:widowControl w:val="0"/>
              <w:spacing w:line="240" w:lineRule="auto"/>
            </w:pPr>
            <w:r>
              <w:t>NWEA growth scores to increase by 50%</w:t>
            </w:r>
          </w:p>
        </w:tc>
      </w:tr>
    </w:tbl>
    <w:p w14:paraId="22D760FC" w14:textId="77777777" w:rsidR="00C6272A" w:rsidRDefault="00C6272A"/>
    <w:p w14:paraId="3BB07A04" w14:textId="77777777" w:rsidR="00C6272A" w:rsidRDefault="00384C5A">
      <w:pPr>
        <w:rPr>
          <w:b/>
        </w:rPr>
      </w:pPr>
      <w:r>
        <w:rPr>
          <w:b/>
        </w:rPr>
        <w:t>Achievement or Growth on Benchmark Assessment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6"/>
        <w:gridCol w:w="2081"/>
        <w:gridCol w:w="2081"/>
        <w:gridCol w:w="2081"/>
        <w:gridCol w:w="2081"/>
      </w:tblGrid>
      <w:tr w:rsidR="00C6272A" w14:paraId="5977A5EA" w14:textId="77777777" w:rsidTr="00C63BE0">
        <w:trPr>
          <w:trHeight w:val="495"/>
        </w:trPr>
        <w:tc>
          <w:tcPr>
            <w:tcW w:w="24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B674" w14:textId="77777777" w:rsidR="00C6272A" w:rsidRDefault="00384C5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41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7987" w14:textId="77777777" w:rsidR="00C6272A" w:rsidRDefault="00384C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By February 1</w:t>
            </w:r>
          </w:p>
        </w:tc>
        <w:tc>
          <w:tcPr>
            <w:tcW w:w="41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ED69" w14:textId="77777777" w:rsidR="00C6272A" w:rsidRDefault="00384C5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Before End of Year</w:t>
            </w:r>
          </w:p>
        </w:tc>
      </w:tr>
      <w:tr w:rsidR="00C6272A" w14:paraId="32CD0C2B" w14:textId="77777777" w:rsidTr="00C63BE0">
        <w:trPr>
          <w:trHeight w:val="420"/>
        </w:trPr>
        <w:tc>
          <w:tcPr>
            <w:tcW w:w="24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FADE" w14:textId="77777777" w:rsidR="00C6272A" w:rsidRDefault="00C6272A">
            <w:pPr>
              <w:widowControl w:val="0"/>
              <w:spacing w:line="240" w:lineRule="auto"/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EFF6" w14:textId="77777777" w:rsidR="00C6272A" w:rsidRDefault="00384C5A">
            <w:pPr>
              <w:widowControl w:val="0"/>
              <w:spacing w:line="240" w:lineRule="auto"/>
            </w:pPr>
            <w:r>
              <w:t>Reading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9DFE" w14:textId="77777777" w:rsidR="00C6272A" w:rsidRDefault="00384C5A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C2C9" w14:textId="77777777" w:rsidR="00C6272A" w:rsidRDefault="00384C5A">
            <w:pPr>
              <w:widowControl w:val="0"/>
              <w:spacing w:line="240" w:lineRule="auto"/>
            </w:pPr>
            <w:r>
              <w:t xml:space="preserve">Reading 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649F" w14:textId="77777777" w:rsidR="00C6272A" w:rsidRDefault="00384C5A">
            <w:pPr>
              <w:widowControl w:val="0"/>
              <w:spacing w:line="240" w:lineRule="auto"/>
            </w:pPr>
            <w:r>
              <w:t>Math</w:t>
            </w:r>
          </w:p>
        </w:tc>
      </w:tr>
      <w:tr w:rsidR="00C6272A" w14:paraId="112DC679" w14:textId="77777777" w:rsidTr="00C63BE0"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9061" w14:textId="77777777" w:rsidR="00C6272A" w:rsidRDefault="00326407">
            <w:pPr>
              <w:widowControl w:val="0"/>
              <w:spacing w:line="240" w:lineRule="auto"/>
            </w:pPr>
            <w:r>
              <w:t>9</w:t>
            </w:r>
            <w:r w:rsidRPr="0032640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D360" w14:textId="77777777" w:rsidR="00C6272A" w:rsidRDefault="00326407">
            <w:pPr>
              <w:widowControl w:val="0"/>
              <w:spacing w:line="240" w:lineRule="auto"/>
            </w:pPr>
            <w:r>
              <w:t>1%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C059" w14:textId="77777777" w:rsidR="00C6272A" w:rsidRDefault="00326407">
            <w:pPr>
              <w:widowControl w:val="0"/>
              <w:spacing w:line="240" w:lineRule="auto"/>
            </w:pPr>
            <w:r>
              <w:t>34%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F232" w14:textId="77777777" w:rsidR="00C6272A" w:rsidRDefault="00C6272A">
            <w:pPr>
              <w:widowControl w:val="0"/>
              <w:spacing w:line="240" w:lineRule="auto"/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362A" w14:textId="77777777" w:rsidR="00C6272A" w:rsidRDefault="00C6272A">
            <w:pPr>
              <w:widowControl w:val="0"/>
              <w:spacing w:line="240" w:lineRule="auto"/>
            </w:pPr>
          </w:p>
        </w:tc>
      </w:tr>
      <w:tr w:rsidR="00C63BE0" w14:paraId="72722CA3" w14:textId="77777777" w:rsidTr="00947011"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C1F0" w14:textId="77777777" w:rsidR="00C63BE0" w:rsidRDefault="00326407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10</w:t>
            </w:r>
            <w:r w:rsidRPr="00326407">
              <w:rPr>
                <w:shd w:val="clear" w:color="auto" w:fill="FFF2CC"/>
                <w:vertAlign w:val="superscript"/>
              </w:rPr>
              <w:t>th</w:t>
            </w:r>
            <w:r>
              <w:rPr>
                <w:shd w:val="clear" w:color="auto" w:fill="FFF2CC"/>
              </w:rPr>
              <w:t xml:space="preserve"> grade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CD96" w14:textId="77777777" w:rsidR="00C63BE0" w:rsidRDefault="00326407">
            <w:pPr>
              <w:widowControl w:val="0"/>
              <w:spacing w:line="240" w:lineRule="auto"/>
            </w:pPr>
            <w:r>
              <w:t>1%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AC36" w14:textId="77777777" w:rsidR="00C63BE0" w:rsidRDefault="00326407">
            <w:pPr>
              <w:widowControl w:val="0"/>
              <w:spacing w:line="240" w:lineRule="auto"/>
            </w:pPr>
            <w:r>
              <w:t>99%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80B8" w14:textId="77777777" w:rsidR="00C63BE0" w:rsidRDefault="00C63BE0">
            <w:pPr>
              <w:widowControl w:val="0"/>
              <w:spacing w:line="240" w:lineRule="auto"/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B1F1" w14:textId="77777777" w:rsidR="00C63BE0" w:rsidRDefault="00C63BE0">
            <w:pPr>
              <w:widowControl w:val="0"/>
              <w:spacing w:line="240" w:lineRule="auto"/>
            </w:pPr>
          </w:p>
        </w:tc>
      </w:tr>
      <w:tr w:rsidR="00C63BE0" w14:paraId="2EFE151C" w14:textId="77777777" w:rsidTr="00947011"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6200" w14:textId="77777777" w:rsidR="00C63BE0" w:rsidRDefault="00326407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11</w:t>
            </w:r>
            <w:r w:rsidRPr="00326407">
              <w:rPr>
                <w:shd w:val="clear" w:color="auto" w:fill="FFF2CC"/>
                <w:vertAlign w:val="superscript"/>
              </w:rPr>
              <w:t>th</w:t>
            </w:r>
            <w:r>
              <w:rPr>
                <w:shd w:val="clear" w:color="auto" w:fill="FFF2CC"/>
              </w:rPr>
              <w:t xml:space="preserve"> grade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6C58" w14:textId="77777777" w:rsidR="00C63BE0" w:rsidRDefault="00326407">
            <w:pPr>
              <w:widowControl w:val="0"/>
              <w:spacing w:line="240" w:lineRule="auto"/>
            </w:pPr>
            <w:r>
              <w:t>1%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5DB7" w14:textId="77777777" w:rsidR="00C63BE0" w:rsidRDefault="00326407">
            <w:pPr>
              <w:widowControl w:val="0"/>
              <w:spacing w:line="240" w:lineRule="auto"/>
            </w:pPr>
            <w:r>
              <w:t>99%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DEC4" w14:textId="77777777" w:rsidR="00C63BE0" w:rsidRDefault="00C63BE0">
            <w:pPr>
              <w:widowControl w:val="0"/>
              <w:spacing w:line="240" w:lineRule="auto"/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E243" w14:textId="77777777" w:rsidR="00C63BE0" w:rsidRDefault="00C63BE0">
            <w:pPr>
              <w:widowControl w:val="0"/>
              <w:spacing w:line="240" w:lineRule="auto"/>
            </w:pPr>
          </w:p>
        </w:tc>
      </w:tr>
      <w:tr w:rsidR="00326407" w14:paraId="75D9EA00" w14:textId="77777777" w:rsidTr="00947011"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94CF" w14:textId="77777777" w:rsidR="00326407" w:rsidRDefault="00326407">
            <w:pPr>
              <w:widowControl w:val="0"/>
              <w:spacing w:line="240" w:lineRule="auto"/>
              <w:rPr>
                <w:shd w:val="clear" w:color="auto" w:fill="FFF2CC"/>
              </w:rPr>
            </w:pPr>
            <w:r>
              <w:rPr>
                <w:shd w:val="clear" w:color="auto" w:fill="FFF2CC"/>
              </w:rPr>
              <w:t>12</w:t>
            </w:r>
            <w:r w:rsidRPr="00326407">
              <w:rPr>
                <w:shd w:val="clear" w:color="auto" w:fill="FFF2CC"/>
                <w:vertAlign w:val="superscript"/>
              </w:rPr>
              <w:t>th</w:t>
            </w:r>
            <w:r>
              <w:rPr>
                <w:shd w:val="clear" w:color="auto" w:fill="FFF2CC"/>
              </w:rPr>
              <w:t xml:space="preserve"> grade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A789" w14:textId="77777777" w:rsidR="00326407" w:rsidRDefault="00326407">
            <w:pPr>
              <w:widowControl w:val="0"/>
              <w:spacing w:line="240" w:lineRule="auto"/>
            </w:pPr>
            <w:r>
              <w:t>1%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008B" w14:textId="77777777" w:rsidR="00326407" w:rsidRDefault="00326407">
            <w:pPr>
              <w:widowControl w:val="0"/>
              <w:spacing w:line="240" w:lineRule="auto"/>
            </w:pPr>
            <w:r>
              <w:t>99%</w:t>
            </w: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C32A" w14:textId="77777777" w:rsidR="00326407" w:rsidRDefault="00326407">
            <w:pPr>
              <w:widowControl w:val="0"/>
              <w:spacing w:line="240" w:lineRule="auto"/>
            </w:pPr>
          </w:p>
        </w:tc>
        <w:tc>
          <w:tcPr>
            <w:tcW w:w="2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06F6" w14:textId="77777777" w:rsidR="00326407" w:rsidRDefault="00326407">
            <w:pPr>
              <w:widowControl w:val="0"/>
              <w:spacing w:line="240" w:lineRule="auto"/>
            </w:pPr>
          </w:p>
        </w:tc>
      </w:tr>
    </w:tbl>
    <w:p w14:paraId="43F2EBA6" w14:textId="77777777" w:rsidR="00C6272A" w:rsidRDefault="00C6272A">
      <w:pPr>
        <w:rPr>
          <w:sz w:val="28"/>
          <w:szCs w:val="28"/>
        </w:rPr>
      </w:pPr>
    </w:p>
    <w:p w14:paraId="59471DA3" w14:textId="77777777" w:rsidR="00326407" w:rsidRDefault="00326407" w:rsidP="00326407">
      <w:r>
        <w:t>NWEA Map Growth scores on the Language Usage benchmark assessment were as follows:</w:t>
      </w:r>
    </w:p>
    <w:p w14:paraId="1848EA5B" w14:textId="77777777" w:rsidR="00326407" w:rsidRDefault="00326407" w:rsidP="00326407">
      <w:r>
        <w:t>9</w:t>
      </w:r>
      <w:r w:rsidRPr="00326407">
        <w:rPr>
          <w:vertAlign w:val="superscript"/>
        </w:rPr>
        <w:t>th</w:t>
      </w:r>
      <w:r>
        <w:t xml:space="preserve"> grade – 99%, 10</w:t>
      </w:r>
      <w:r w:rsidRPr="00326407">
        <w:rPr>
          <w:vertAlign w:val="superscript"/>
        </w:rPr>
        <w:t>th</w:t>
      </w:r>
      <w:r>
        <w:t xml:space="preserve"> grade – 99%, 11</w:t>
      </w:r>
      <w:r w:rsidRPr="00326407">
        <w:rPr>
          <w:vertAlign w:val="superscript"/>
        </w:rPr>
        <w:t>th</w:t>
      </w:r>
      <w:r>
        <w:t xml:space="preserve"> grade – 44%, no scores were provided for 12</w:t>
      </w:r>
      <w:r w:rsidRPr="00326407">
        <w:rPr>
          <w:vertAlign w:val="superscript"/>
        </w:rPr>
        <w:t>th</w:t>
      </w:r>
      <w:r>
        <w:t xml:space="preserve"> grade.  </w:t>
      </w:r>
    </w:p>
    <w:p w14:paraId="40536D5D" w14:textId="77777777" w:rsidR="00326407" w:rsidRDefault="00326407" w:rsidP="00326407">
      <w:r>
        <w:t>We met or exceeded with all grades for Math and Language Usage.  It should be noted that we provided this assessment remotely.</w:t>
      </w:r>
    </w:p>
    <w:p w14:paraId="5B976D7D" w14:textId="77777777" w:rsidR="00326407" w:rsidRDefault="00326407" w:rsidP="00326407"/>
    <w:p w14:paraId="5B50330B" w14:textId="77777777" w:rsidR="00326407" w:rsidRDefault="00326407" w:rsidP="00326407">
      <w:r>
        <w:t>We have maintained 100% 2 – way interactions for the school year to this point.</w:t>
      </w:r>
    </w:p>
    <w:p w14:paraId="2EC316A5" w14:textId="6200631E" w:rsidR="00326407" w:rsidRDefault="00326407" w:rsidP="00326407">
      <w:r>
        <w:t xml:space="preserve">We have had </w:t>
      </w:r>
      <w:r w:rsidR="006F731B">
        <w:t>eight</w:t>
      </w:r>
      <w:r>
        <w:t xml:space="preserve"> (</w:t>
      </w:r>
      <w:r w:rsidR="006F731B">
        <w:t>8</w:t>
      </w:r>
      <w:r>
        <w:t>) students attain high school graduation.</w:t>
      </w:r>
    </w:p>
    <w:p w14:paraId="0D489621" w14:textId="77777777" w:rsidR="00326407" w:rsidRDefault="00326407" w:rsidP="00326407">
      <w:r>
        <w:t>We have increased enrollment by thirteen (13) students since fall count day.</w:t>
      </w:r>
    </w:p>
    <w:p w14:paraId="34B42FD4" w14:textId="77777777" w:rsidR="00C6272A" w:rsidRDefault="00384C5A" w:rsidP="00326407">
      <w:pPr>
        <w:rPr>
          <w:b/>
          <w:sz w:val="28"/>
          <w:szCs w:val="28"/>
        </w:rPr>
      </w:pPr>
      <w:r>
        <w:br w:type="page"/>
      </w:r>
    </w:p>
    <w:sectPr w:rsidR="00C62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5F73" w14:textId="77777777" w:rsidR="00704CD0" w:rsidRDefault="00704CD0">
      <w:pPr>
        <w:spacing w:line="240" w:lineRule="auto"/>
      </w:pPr>
      <w:r>
        <w:separator/>
      </w:r>
    </w:p>
  </w:endnote>
  <w:endnote w:type="continuationSeparator" w:id="0">
    <w:p w14:paraId="2679E8E7" w14:textId="77777777" w:rsidR="00704CD0" w:rsidRDefault="0070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3E70" w14:textId="77777777" w:rsidR="006F731B" w:rsidRDefault="006F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888A" w14:textId="77777777" w:rsidR="00C6272A" w:rsidRDefault="00C6272A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6125" w14:textId="77777777" w:rsidR="006F731B" w:rsidRDefault="006F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77B4" w14:textId="77777777" w:rsidR="00704CD0" w:rsidRDefault="00704CD0">
      <w:pPr>
        <w:spacing w:line="240" w:lineRule="auto"/>
      </w:pPr>
      <w:r>
        <w:separator/>
      </w:r>
    </w:p>
  </w:footnote>
  <w:footnote w:type="continuationSeparator" w:id="0">
    <w:p w14:paraId="1598F7F5" w14:textId="77777777" w:rsidR="00704CD0" w:rsidRDefault="00704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98B0" w14:textId="77777777" w:rsidR="006F731B" w:rsidRDefault="006F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A147" w14:textId="77777777" w:rsidR="006F731B" w:rsidRDefault="006F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C8E8" w14:textId="77777777" w:rsidR="00C6272A" w:rsidRDefault="00C6272A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2A"/>
    <w:rsid w:val="0008636E"/>
    <w:rsid w:val="00326407"/>
    <w:rsid w:val="00384C5A"/>
    <w:rsid w:val="003E4AD6"/>
    <w:rsid w:val="005D692C"/>
    <w:rsid w:val="006F731B"/>
    <w:rsid w:val="00704CD0"/>
    <w:rsid w:val="00886C1A"/>
    <w:rsid w:val="00C6272A"/>
    <w:rsid w:val="00C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2AE9F"/>
  <w15:docId w15:val="{18484A42-7357-4371-B443-E43A9E72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6E"/>
  </w:style>
  <w:style w:type="paragraph" w:styleId="Footer">
    <w:name w:val="footer"/>
    <w:basedOn w:val="Normal"/>
    <w:link w:val="FooterChar"/>
    <w:uiPriority w:val="99"/>
    <w:unhideWhenUsed/>
    <w:rsid w:val="000863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6E"/>
  </w:style>
  <w:style w:type="paragraph" w:styleId="BalloonText">
    <w:name w:val="Balloon Text"/>
    <w:basedOn w:val="Normal"/>
    <w:link w:val="BalloonTextChar"/>
    <w:uiPriority w:val="99"/>
    <w:semiHidden/>
    <w:unhideWhenUsed/>
    <w:rsid w:val="00086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BLAUSER1</dc:creator>
  <cp:lastModifiedBy>Kathleen Travis</cp:lastModifiedBy>
  <cp:revision>2</cp:revision>
  <cp:lastPrinted>2021-01-28T14:41:00Z</cp:lastPrinted>
  <dcterms:created xsi:type="dcterms:W3CDTF">2021-01-28T15:35:00Z</dcterms:created>
  <dcterms:modified xsi:type="dcterms:W3CDTF">2021-01-28T15:35:00Z</dcterms:modified>
</cp:coreProperties>
</file>